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65F0" w14:textId="7EC28F99" w:rsidR="00A818B5" w:rsidRPr="00A818B5" w:rsidRDefault="00A818B5" w:rsidP="00A818B5">
      <w:pPr>
        <w:spacing w:after="0"/>
        <w:rPr>
          <w:rFonts w:ascii="Arial" w:hAnsi="Arial" w:cs="Arial"/>
          <w:b/>
        </w:rPr>
      </w:pPr>
      <w:r w:rsidRPr="00A818B5">
        <w:rPr>
          <w:rFonts w:ascii="Arial" w:hAnsi="Arial" w:cs="Arial"/>
          <w:b/>
          <w:bCs/>
        </w:rPr>
        <w:t>20. člen</w:t>
      </w:r>
      <w:r w:rsidRPr="00A818B5">
        <w:rPr>
          <w:rFonts w:ascii="Arial" w:hAnsi="Arial" w:cs="Arial"/>
          <w:b/>
        </w:rPr>
        <w:t xml:space="preserve"> </w:t>
      </w:r>
      <w:r w:rsidRPr="00A818B5">
        <w:rPr>
          <w:rFonts w:ascii="Arial" w:hAnsi="Arial" w:cs="Arial"/>
          <w:b/>
        </w:rPr>
        <w:t>Pravilnik</w:t>
      </w:r>
      <w:r w:rsidRPr="00A818B5">
        <w:rPr>
          <w:rFonts w:ascii="Arial" w:hAnsi="Arial" w:cs="Arial"/>
          <w:b/>
        </w:rPr>
        <w:t xml:space="preserve">a </w:t>
      </w:r>
      <w:r w:rsidRPr="00A818B5">
        <w:rPr>
          <w:rFonts w:ascii="Arial" w:hAnsi="Arial" w:cs="Arial"/>
          <w:b/>
        </w:rPr>
        <w:t xml:space="preserve">o postopku vpisa in sprejema otrok v vrtec v Občini Miklavž na Dravskem polju </w:t>
      </w:r>
      <w:r w:rsidRPr="00A818B5">
        <w:rPr>
          <w:rFonts w:ascii="Arial" w:hAnsi="Arial" w:cs="Arial"/>
          <w:b/>
        </w:rPr>
        <w:t xml:space="preserve">opredeljuje </w:t>
      </w:r>
      <w:r w:rsidRPr="00A818B5">
        <w:rPr>
          <w:rFonts w:ascii="Arial" w:hAnsi="Arial" w:cs="Arial"/>
          <w:b/>
        </w:rPr>
        <w:t>kriterij</w:t>
      </w:r>
      <w:r w:rsidRPr="00A818B5">
        <w:rPr>
          <w:rFonts w:ascii="Arial" w:hAnsi="Arial" w:cs="Arial"/>
          <w:b/>
        </w:rPr>
        <w:t>e</w:t>
      </w:r>
      <w:r w:rsidRPr="00A818B5">
        <w:rPr>
          <w:rFonts w:ascii="Arial" w:hAnsi="Arial" w:cs="Arial"/>
          <w:b/>
        </w:rPr>
        <w:t xml:space="preserve"> za sprejem otrok v vrtec</w:t>
      </w:r>
      <w:r>
        <w:rPr>
          <w:rFonts w:ascii="Arial" w:hAnsi="Arial" w:cs="Arial"/>
          <w:b/>
        </w:rPr>
        <w:t>.</w:t>
      </w:r>
    </w:p>
    <w:p w14:paraId="04E09E0E" w14:textId="77777777" w:rsidR="00A818B5" w:rsidRPr="00A818B5" w:rsidRDefault="00A818B5" w:rsidP="00A818B5">
      <w:pPr>
        <w:spacing w:after="0"/>
        <w:jc w:val="both"/>
        <w:rPr>
          <w:rFonts w:ascii="Arial" w:hAnsi="Arial" w:cs="Arial"/>
        </w:rPr>
      </w:pPr>
    </w:p>
    <w:p w14:paraId="381C27D9" w14:textId="77777777" w:rsidR="00A818B5" w:rsidRPr="00A818B5" w:rsidRDefault="00A818B5" w:rsidP="00A818B5">
      <w:pPr>
        <w:spacing w:after="0"/>
        <w:jc w:val="both"/>
        <w:rPr>
          <w:rFonts w:ascii="Arial" w:hAnsi="Arial" w:cs="Arial"/>
          <w:b/>
          <w:bCs/>
          <w:sz w:val="22"/>
          <w:szCs w:val="22"/>
          <w:u w:val="single"/>
        </w:rPr>
      </w:pPr>
      <w:r w:rsidRPr="00825E85">
        <w:rPr>
          <w:rFonts w:ascii="Arial" w:hAnsi="Arial" w:cs="Arial"/>
          <w:sz w:val="22"/>
          <w:szCs w:val="22"/>
        </w:rPr>
        <w:t xml:space="preserve">(1) Komisija odloča o sprejemu otrok v vrtec na podlagi naslednjih </w:t>
      </w:r>
      <w:r w:rsidRPr="00A818B5">
        <w:rPr>
          <w:rFonts w:ascii="Arial" w:hAnsi="Arial" w:cs="Arial"/>
          <w:b/>
          <w:bCs/>
          <w:sz w:val="22"/>
          <w:szCs w:val="22"/>
          <w:u w:val="single"/>
        </w:rPr>
        <w:t>kriterijev:</w:t>
      </w:r>
    </w:p>
    <w:p w14:paraId="2B31827B" w14:textId="77777777" w:rsidR="00A818B5" w:rsidRPr="00825E85" w:rsidRDefault="00A818B5" w:rsidP="00A818B5">
      <w:pPr>
        <w:spacing w:after="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19"/>
        <w:gridCol w:w="6727"/>
        <w:gridCol w:w="983"/>
      </w:tblGrid>
      <w:tr w:rsidR="00A818B5" w:rsidRPr="00825E85" w14:paraId="53E1A238" w14:textId="77777777" w:rsidTr="00165DA6">
        <w:tc>
          <w:tcPr>
            <w:tcW w:w="846" w:type="dxa"/>
            <w:shd w:val="clear" w:color="auto" w:fill="auto"/>
          </w:tcPr>
          <w:p w14:paraId="25676993" w14:textId="77777777" w:rsidR="00A818B5" w:rsidRPr="00825E85" w:rsidRDefault="00A818B5" w:rsidP="00165DA6">
            <w:pPr>
              <w:spacing w:after="0"/>
              <w:jc w:val="center"/>
              <w:rPr>
                <w:rFonts w:ascii="Arial" w:eastAsia="Times New Roman" w:hAnsi="Arial" w:cs="Arial"/>
                <w:b/>
                <w:sz w:val="22"/>
                <w:szCs w:val="22"/>
                <w:lang w:eastAsia="sl-SI"/>
              </w:rPr>
            </w:pPr>
            <w:proofErr w:type="spellStart"/>
            <w:r w:rsidRPr="00825E85">
              <w:rPr>
                <w:rFonts w:ascii="Arial" w:eastAsia="Times New Roman" w:hAnsi="Arial" w:cs="Arial"/>
                <w:b/>
                <w:sz w:val="22"/>
                <w:szCs w:val="22"/>
                <w:lang w:eastAsia="sl-SI"/>
              </w:rPr>
              <w:t>Zap</w:t>
            </w:r>
            <w:proofErr w:type="spellEnd"/>
            <w:r w:rsidRPr="00825E85">
              <w:rPr>
                <w:rFonts w:ascii="Arial" w:eastAsia="Times New Roman" w:hAnsi="Arial" w:cs="Arial"/>
                <w:b/>
                <w:sz w:val="22"/>
                <w:szCs w:val="22"/>
                <w:lang w:eastAsia="sl-SI"/>
              </w:rPr>
              <w:t>. št.</w:t>
            </w:r>
          </w:p>
        </w:tc>
        <w:tc>
          <w:tcPr>
            <w:tcW w:w="528" w:type="dxa"/>
            <w:shd w:val="clear" w:color="auto" w:fill="auto"/>
          </w:tcPr>
          <w:p w14:paraId="0B49EB6C" w14:textId="77777777" w:rsidR="00A818B5" w:rsidRPr="00825E85" w:rsidRDefault="00A818B5" w:rsidP="00165DA6">
            <w:pPr>
              <w:spacing w:after="0"/>
              <w:jc w:val="center"/>
              <w:rPr>
                <w:rFonts w:ascii="Arial" w:eastAsia="Times New Roman" w:hAnsi="Arial" w:cs="Arial"/>
                <w:b/>
                <w:sz w:val="22"/>
                <w:szCs w:val="22"/>
                <w:lang w:eastAsia="sl-SI"/>
              </w:rPr>
            </w:pPr>
          </w:p>
        </w:tc>
        <w:tc>
          <w:tcPr>
            <w:tcW w:w="7126" w:type="dxa"/>
            <w:shd w:val="clear" w:color="auto" w:fill="auto"/>
            <w:vAlign w:val="center"/>
          </w:tcPr>
          <w:p w14:paraId="2DD9387F" w14:textId="77777777" w:rsidR="00A818B5" w:rsidRPr="00825E85" w:rsidRDefault="00A818B5" w:rsidP="00165DA6">
            <w:pPr>
              <w:spacing w:after="0"/>
              <w:jc w:val="center"/>
              <w:rPr>
                <w:rFonts w:ascii="Arial" w:eastAsia="Times New Roman" w:hAnsi="Arial" w:cs="Arial"/>
                <w:b/>
                <w:sz w:val="22"/>
                <w:szCs w:val="22"/>
                <w:lang w:eastAsia="sl-SI"/>
              </w:rPr>
            </w:pPr>
            <w:r w:rsidRPr="00825E85">
              <w:rPr>
                <w:rFonts w:ascii="Arial" w:eastAsia="Times New Roman" w:hAnsi="Arial" w:cs="Arial"/>
                <w:b/>
                <w:sz w:val="22"/>
                <w:szCs w:val="22"/>
                <w:lang w:eastAsia="sl-SI"/>
              </w:rPr>
              <w:t>Kriteriji</w:t>
            </w:r>
          </w:p>
        </w:tc>
        <w:tc>
          <w:tcPr>
            <w:tcW w:w="987" w:type="dxa"/>
            <w:shd w:val="clear" w:color="auto" w:fill="auto"/>
          </w:tcPr>
          <w:p w14:paraId="015924B3" w14:textId="77777777" w:rsidR="00A818B5" w:rsidRPr="00825E85" w:rsidRDefault="00A818B5" w:rsidP="00165DA6">
            <w:pPr>
              <w:spacing w:after="0"/>
              <w:jc w:val="center"/>
              <w:rPr>
                <w:rFonts w:ascii="Arial" w:eastAsia="Times New Roman" w:hAnsi="Arial" w:cs="Arial"/>
                <w:b/>
                <w:sz w:val="22"/>
                <w:szCs w:val="22"/>
                <w:lang w:eastAsia="sl-SI"/>
              </w:rPr>
            </w:pPr>
            <w:r w:rsidRPr="00825E85">
              <w:rPr>
                <w:rFonts w:ascii="Arial" w:eastAsia="Times New Roman" w:hAnsi="Arial" w:cs="Arial"/>
                <w:b/>
                <w:sz w:val="22"/>
                <w:szCs w:val="22"/>
                <w:lang w:eastAsia="sl-SI"/>
              </w:rPr>
              <w:t>Število točk</w:t>
            </w:r>
          </w:p>
        </w:tc>
      </w:tr>
      <w:tr w:rsidR="00A818B5" w:rsidRPr="00825E85" w14:paraId="111D94E5" w14:textId="77777777" w:rsidTr="00165DA6">
        <w:trPr>
          <w:trHeight w:val="361"/>
        </w:trPr>
        <w:tc>
          <w:tcPr>
            <w:tcW w:w="846" w:type="dxa"/>
            <w:shd w:val="clear" w:color="auto" w:fill="auto"/>
            <w:vAlign w:val="center"/>
          </w:tcPr>
          <w:p w14:paraId="12192B38"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1.</w:t>
            </w:r>
          </w:p>
        </w:tc>
        <w:tc>
          <w:tcPr>
            <w:tcW w:w="528" w:type="dxa"/>
            <w:shd w:val="clear" w:color="auto" w:fill="auto"/>
            <w:vAlign w:val="center"/>
          </w:tcPr>
          <w:p w14:paraId="6A9BBF5C" w14:textId="77777777" w:rsidR="00A818B5" w:rsidRPr="00825E85" w:rsidRDefault="00A818B5" w:rsidP="00165DA6">
            <w:pPr>
              <w:spacing w:after="0"/>
              <w:jc w:val="center"/>
              <w:rPr>
                <w:rFonts w:ascii="Arial" w:eastAsia="Times New Roman" w:hAnsi="Arial" w:cs="Arial"/>
                <w:sz w:val="22"/>
                <w:szCs w:val="22"/>
                <w:lang w:eastAsia="sl-SI"/>
              </w:rPr>
            </w:pPr>
          </w:p>
        </w:tc>
        <w:tc>
          <w:tcPr>
            <w:tcW w:w="7126" w:type="dxa"/>
            <w:shd w:val="clear" w:color="auto" w:fill="auto"/>
            <w:vAlign w:val="center"/>
          </w:tcPr>
          <w:p w14:paraId="74091937"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b/>
                <w:sz w:val="22"/>
                <w:szCs w:val="22"/>
                <w:lang w:eastAsia="sl-SI"/>
              </w:rPr>
              <w:t xml:space="preserve">Prebivališče </w:t>
            </w:r>
            <w:r w:rsidRPr="00825E85">
              <w:rPr>
                <w:rFonts w:ascii="Arial" w:eastAsia="Times New Roman" w:hAnsi="Arial" w:cs="Arial"/>
                <w:sz w:val="22"/>
                <w:szCs w:val="22"/>
                <w:lang w:eastAsia="sl-SI"/>
              </w:rPr>
              <w:t>(upošteva se ena od variant):</w:t>
            </w:r>
          </w:p>
        </w:tc>
        <w:tc>
          <w:tcPr>
            <w:tcW w:w="987" w:type="dxa"/>
            <w:shd w:val="clear" w:color="auto" w:fill="auto"/>
            <w:vAlign w:val="center"/>
          </w:tcPr>
          <w:p w14:paraId="1C19494B" w14:textId="77777777" w:rsidR="00A818B5" w:rsidRPr="00825E85" w:rsidRDefault="00A818B5" w:rsidP="00165DA6">
            <w:pPr>
              <w:spacing w:after="0"/>
              <w:jc w:val="center"/>
              <w:rPr>
                <w:rFonts w:ascii="Arial" w:eastAsia="Times New Roman" w:hAnsi="Arial" w:cs="Arial"/>
                <w:sz w:val="22"/>
                <w:szCs w:val="22"/>
                <w:lang w:eastAsia="sl-SI"/>
              </w:rPr>
            </w:pPr>
          </w:p>
        </w:tc>
      </w:tr>
      <w:tr w:rsidR="00A818B5" w:rsidRPr="00825E85" w14:paraId="7B00865A" w14:textId="77777777" w:rsidTr="00165DA6">
        <w:tc>
          <w:tcPr>
            <w:tcW w:w="846" w:type="dxa"/>
            <w:shd w:val="clear" w:color="auto" w:fill="auto"/>
          </w:tcPr>
          <w:p w14:paraId="36E5D615"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2A52A2A5"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a.</w:t>
            </w:r>
          </w:p>
        </w:tc>
        <w:tc>
          <w:tcPr>
            <w:tcW w:w="7126" w:type="dxa"/>
            <w:shd w:val="clear" w:color="auto" w:fill="auto"/>
          </w:tcPr>
          <w:p w14:paraId="3F366491"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 xml:space="preserve">Otrok in starši oz. skrbniki imajo stalno prebivališče na območju Občine Miklavž na Dravskem polju </w:t>
            </w:r>
          </w:p>
        </w:tc>
        <w:tc>
          <w:tcPr>
            <w:tcW w:w="987" w:type="dxa"/>
            <w:shd w:val="clear" w:color="auto" w:fill="auto"/>
          </w:tcPr>
          <w:p w14:paraId="24BCD33D"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30</w:t>
            </w:r>
          </w:p>
        </w:tc>
      </w:tr>
      <w:tr w:rsidR="00A818B5" w:rsidRPr="00825E85" w14:paraId="340C218D" w14:textId="77777777" w:rsidTr="00165DA6">
        <w:tc>
          <w:tcPr>
            <w:tcW w:w="846" w:type="dxa"/>
            <w:shd w:val="clear" w:color="auto" w:fill="auto"/>
          </w:tcPr>
          <w:p w14:paraId="5E2F1791"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4FA7ECAB"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b.</w:t>
            </w:r>
          </w:p>
        </w:tc>
        <w:tc>
          <w:tcPr>
            <w:tcW w:w="7126" w:type="dxa"/>
            <w:shd w:val="clear" w:color="auto" w:fill="auto"/>
          </w:tcPr>
          <w:p w14:paraId="782F3189"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 xml:space="preserve">Otrok ima skupaj z enim od staršev oz. skrbnikov stalno prebivališče v Občini Miklavž na Dravskem polju </w:t>
            </w:r>
          </w:p>
        </w:tc>
        <w:tc>
          <w:tcPr>
            <w:tcW w:w="987" w:type="dxa"/>
            <w:shd w:val="clear" w:color="auto" w:fill="auto"/>
          </w:tcPr>
          <w:p w14:paraId="458C57AB"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30</w:t>
            </w:r>
          </w:p>
        </w:tc>
      </w:tr>
      <w:tr w:rsidR="00A818B5" w:rsidRPr="00825E85" w14:paraId="243FED08" w14:textId="77777777" w:rsidTr="00165DA6">
        <w:tc>
          <w:tcPr>
            <w:tcW w:w="846" w:type="dxa"/>
            <w:shd w:val="clear" w:color="auto" w:fill="auto"/>
          </w:tcPr>
          <w:p w14:paraId="506FDD50"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6E8A1DA7"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c.</w:t>
            </w:r>
          </w:p>
        </w:tc>
        <w:tc>
          <w:tcPr>
            <w:tcW w:w="7126" w:type="dxa"/>
            <w:shd w:val="clear" w:color="auto" w:fill="auto"/>
          </w:tcPr>
          <w:p w14:paraId="43A07678" w14:textId="77777777" w:rsidR="00A818B5" w:rsidRPr="00825E85" w:rsidRDefault="00A818B5" w:rsidP="00165DA6">
            <w:pPr>
              <w:spacing w:after="0"/>
              <w:rPr>
                <w:rFonts w:ascii="Arial" w:eastAsia="Times New Roman" w:hAnsi="Arial" w:cs="Arial"/>
                <w:sz w:val="22"/>
                <w:szCs w:val="22"/>
                <w:lang w:eastAsia="sl-SI"/>
              </w:rPr>
            </w:pPr>
            <w:r w:rsidRPr="00825E85">
              <w:rPr>
                <w:rFonts w:ascii="Arial" w:eastAsia="Times New Roman" w:hAnsi="Arial" w:cs="Arial"/>
                <w:sz w:val="22"/>
                <w:szCs w:val="22"/>
                <w:lang w:eastAsia="sl-SI"/>
              </w:rPr>
              <w:t>Otrok tujcev, ki ima skupaj vsaj z enim od staršev  stalno ali začasno prebivališče, in je vsaj eden od staršev zavezanec za dohodnino v Republiki Sloveniji</w:t>
            </w:r>
          </w:p>
        </w:tc>
        <w:tc>
          <w:tcPr>
            <w:tcW w:w="987" w:type="dxa"/>
            <w:shd w:val="clear" w:color="auto" w:fill="auto"/>
          </w:tcPr>
          <w:p w14:paraId="7DEDBB86"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30</w:t>
            </w:r>
          </w:p>
        </w:tc>
      </w:tr>
      <w:tr w:rsidR="00A818B5" w:rsidRPr="00825E85" w14:paraId="40845D60" w14:textId="77777777" w:rsidTr="00165DA6">
        <w:trPr>
          <w:trHeight w:val="399"/>
        </w:trPr>
        <w:tc>
          <w:tcPr>
            <w:tcW w:w="846" w:type="dxa"/>
            <w:shd w:val="clear" w:color="auto" w:fill="auto"/>
            <w:vAlign w:val="center"/>
          </w:tcPr>
          <w:p w14:paraId="43750E5E"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 xml:space="preserve">2. </w:t>
            </w:r>
          </w:p>
        </w:tc>
        <w:tc>
          <w:tcPr>
            <w:tcW w:w="528" w:type="dxa"/>
            <w:shd w:val="clear" w:color="auto" w:fill="auto"/>
            <w:vAlign w:val="center"/>
          </w:tcPr>
          <w:p w14:paraId="7CB50A68" w14:textId="77777777" w:rsidR="00A818B5" w:rsidRPr="00825E85" w:rsidRDefault="00A818B5" w:rsidP="00165DA6">
            <w:pPr>
              <w:spacing w:after="0"/>
              <w:jc w:val="center"/>
              <w:rPr>
                <w:rFonts w:ascii="Arial" w:eastAsia="Times New Roman" w:hAnsi="Arial" w:cs="Arial"/>
                <w:strike/>
                <w:sz w:val="22"/>
                <w:szCs w:val="22"/>
                <w:lang w:eastAsia="sl-SI"/>
              </w:rPr>
            </w:pPr>
          </w:p>
        </w:tc>
        <w:tc>
          <w:tcPr>
            <w:tcW w:w="7126" w:type="dxa"/>
            <w:shd w:val="clear" w:color="auto" w:fill="auto"/>
            <w:vAlign w:val="center"/>
          </w:tcPr>
          <w:p w14:paraId="485D24F4" w14:textId="77777777" w:rsidR="00A818B5" w:rsidRPr="00825E85" w:rsidRDefault="00A818B5" w:rsidP="00165DA6">
            <w:pPr>
              <w:spacing w:after="0"/>
              <w:jc w:val="both"/>
              <w:rPr>
                <w:rFonts w:ascii="Arial" w:eastAsia="Times New Roman" w:hAnsi="Arial" w:cs="Arial"/>
                <w:b/>
                <w:sz w:val="22"/>
                <w:szCs w:val="22"/>
                <w:lang w:eastAsia="sl-SI"/>
              </w:rPr>
            </w:pPr>
            <w:r w:rsidRPr="00825E85">
              <w:rPr>
                <w:rFonts w:ascii="Arial" w:eastAsia="Times New Roman" w:hAnsi="Arial" w:cs="Arial"/>
                <w:b/>
                <w:sz w:val="22"/>
                <w:szCs w:val="22"/>
                <w:lang w:eastAsia="sl-SI"/>
              </w:rPr>
              <w:t>Urejanje prebivališča</w:t>
            </w:r>
            <w:r>
              <w:rPr>
                <w:rFonts w:ascii="Arial" w:eastAsia="Times New Roman" w:hAnsi="Arial" w:cs="Arial"/>
                <w:b/>
                <w:sz w:val="22"/>
                <w:szCs w:val="22"/>
                <w:lang w:eastAsia="sl-SI"/>
              </w:rPr>
              <w:t>,</w:t>
            </w:r>
            <w:r w:rsidRPr="00825E85">
              <w:rPr>
                <w:rFonts w:ascii="Arial" w:eastAsia="Times New Roman" w:hAnsi="Arial" w:cs="Arial"/>
                <w:b/>
                <w:sz w:val="22"/>
                <w:szCs w:val="22"/>
                <w:lang w:eastAsia="sl-SI"/>
              </w:rPr>
              <w:t xml:space="preserve">  določenega v  </w:t>
            </w:r>
            <w:proofErr w:type="spellStart"/>
            <w:r w:rsidRPr="00825E85">
              <w:rPr>
                <w:rFonts w:ascii="Arial" w:eastAsia="Times New Roman" w:hAnsi="Arial" w:cs="Arial"/>
                <w:b/>
                <w:sz w:val="22"/>
                <w:szCs w:val="22"/>
                <w:lang w:eastAsia="sl-SI"/>
              </w:rPr>
              <w:t>zap</w:t>
            </w:r>
            <w:proofErr w:type="spellEnd"/>
            <w:r w:rsidRPr="00825E85">
              <w:rPr>
                <w:rFonts w:ascii="Arial" w:eastAsia="Times New Roman" w:hAnsi="Arial" w:cs="Arial"/>
                <w:b/>
                <w:sz w:val="22"/>
                <w:szCs w:val="22"/>
                <w:lang w:eastAsia="sl-SI"/>
              </w:rPr>
              <w:t>. št. 1 kriterijev za sprejem otrok v vrtec:</w:t>
            </w:r>
          </w:p>
        </w:tc>
        <w:tc>
          <w:tcPr>
            <w:tcW w:w="987" w:type="dxa"/>
            <w:shd w:val="clear" w:color="auto" w:fill="auto"/>
            <w:vAlign w:val="center"/>
          </w:tcPr>
          <w:p w14:paraId="385F7125" w14:textId="77777777" w:rsidR="00A818B5" w:rsidRPr="00825E85" w:rsidRDefault="00A818B5" w:rsidP="00165DA6">
            <w:pPr>
              <w:spacing w:after="0"/>
              <w:jc w:val="center"/>
              <w:rPr>
                <w:rFonts w:ascii="Arial" w:eastAsia="Times New Roman" w:hAnsi="Arial" w:cs="Arial"/>
                <w:b/>
                <w:bCs/>
                <w:strike/>
                <w:sz w:val="22"/>
                <w:szCs w:val="22"/>
                <w:lang w:eastAsia="sl-SI"/>
              </w:rPr>
            </w:pPr>
          </w:p>
        </w:tc>
      </w:tr>
      <w:tr w:rsidR="00A818B5" w:rsidRPr="00825E85" w14:paraId="6963B6C3" w14:textId="77777777" w:rsidTr="00165DA6">
        <w:trPr>
          <w:trHeight w:val="368"/>
        </w:trPr>
        <w:tc>
          <w:tcPr>
            <w:tcW w:w="846" w:type="dxa"/>
            <w:shd w:val="clear" w:color="auto" w:fill="auto"/>
            <w:vAlign w:val="center"/>
          </w:tcPr>
          <w:p w14:paraId="30FF09E9" w14:textId="77777777" w:rsidR="00A818B5" w:rsidRPr="00825E85" w:rsidRDefault="00A818B5" w:rsidP="00165DA6">
            <w:pPr>
              <w:spacing w:after="0"/>
              <w:jc w:val="center"/>
              <w:rPr>
                <w:rFonts w:ascii="Arial" w:eastAsia="Times New Roman" w:hAnsi="Arial" w:cs="Arial"/>
                <w:strike/>
                <w:sz w:val="22"/>
                <w:szCs w:val="22"/>
                <w:lang w:eastAsia="sl-SI"/>
              </w:rPr>
            </w:pPr>
          </w:p>
        </w:tc>
        <w:tc>
          <w:tcPr>
            <w:tcW w:w="528" w:type="dxa"/>
            <w:shd w:val="clear" w:color="auto" w:fill="auto"/>
            <w:vAlign w:val="center"/>
          </w:tcPr>
          <w:p w14:paraId="432C07E9" w14:textId="77777777" w:rsidR="00A818B5" w:rsidRPr="00825E85" w:rsidRDefault="00A818B5" w:rsidP="00165DA6">
            <w:pPr>
              <w:spacing w:after="0"/>
              <w:jc w:val="center"/>
              <w:rPr>
                <w:rFonts w:ascii="Arial" w:eastAsia="Times New Roman" w:hAnsi="Arial" w:cs="Arial"/>
                <w:strike/>
                <w:sz w:val="22"/>
                <w:szCs w:val="22"/>
                <w:lang w:eastAsia="sl-SI"/>
              </w:rPr>
            </w:pPr>
          </w:p>
        </w:tc>
        <w:tc>
          <w:tcPr>
            <w:tcW w:w="7126" w:type="dxa"/>
            <w:shd w:val="clear" w:color="auto" w:fill="auto"/>
            <w:vAlign w:val="center"/>
          </w:tcPr>
          <w:p w14:paraId="0B384E70" w14:textId="77777777" w:rsidR="00A818B5" w:rsidRPr="00825E85" w:rsidRDefault="00A818B5" w:rsidP="00165DA6">
            <w:pPr>
              <w:spacing w:after="0"/>
              <w:jc w:val="both"/>
              <w:rPr>
                <w:rFonts w:ascii="Arial" w:eastAsia="Times New Roman" w:hAnsi="Arial" w:cs="Arial"/>
                <w:bCs/>
                <w:sz w:val="22"/>
                <w:szCs w:val="22"/>
                <w:lang w:eastAsia="sl-SI"/>
              </w:rPr>
            </w:pPr>
            <w:r w:rsidRPr="00825E85">
              <w:rPr>
                <w:rFonts w:ascii="Arial" w:eastAsia="Times New Roman" w:hAnsi="Arial" w:cs="Arial"/>
                <w:bCs/>
                <w:sz w:val="22"/>
                <w:szCs w:val="22"/>
                <w:lang w:eastAsia="sl-SI"/>
              </w:rPr>
              <w:t>Otrok in starši v času uradnega vpisa novincev nimajo stalnega prebivališča v občini, vendar bodo ta pogoj izpolnili do 1. 9. tekočega leta</w:t>
            </w:r>
          </w:p>
        </w:tc>
        <w:tc>
          <w:tcPr>
            <w:tcW w:w="987" w:type="dxa"/>
            <w:shd w:val="clear" w:color="auto" w:fill="auto"/>
            <w:vAlign w:val="center"/>
          </w:tcPr>
          <w:p w14:paraId="0A25DB88" w14:textId="77777777" w:rsidR="00A818B5" w:rsidRPr="00825E85" w:rsidRDefault="00A818B5" w:rsidP="00165DA6">
            <w:pPr>
              <w:spacing w:after="0"/>
              <w:jc w:val="center"/>
              <w:rPr>
                <w:rFonts w:ascii="Arial" w:eastAsia="Times New Roman" w:hAnsi="Arial" w:cs="Arial"/>
                <w:b/>
                <w:sz w:val="22"/>
                <w:szCs w:val="22"/>
                <w:lang w:eastAsia="sl-SI"/>
              </w:rPr>
            </w:pPr>
            <w:r w:rsidRPr="00825E85">
              <w:rPr>
                <w:rFonts w:ascii="Arial" w:eastAsia="Times New Roman" w:hAnsi="Arial" w:cs="Arial"/>
                <w:b/>
                <w:sz w:val="22"/>
                <w:szCs w:val="22"/>
                <w:lang w:eastAsia="sl-SI"/>
              </w:rPr>
              <w:t>15</w:t>
            </w:r>
          </w:p>
        </w:tc>
      </w:tr>
      <w:tr w:rsidR="00A818B5" w:rsidRPr="00825E85" w14:paraId="253A81A8" w14:textId="77777777" w:rsidTr="00165DA6">
        <w:trPr>
          <w:trHeight w:val="368"/>
        </w:trPr>
        <w:tc>
          <w:tcPr>
            <w:tcW w:w="846" w:type="dxa"/>
            <w:shd w:val="clear" w:color="auto" w:fill="auto"/>
            <w:vAlign w:val="center"/>
          </w:tcPr>
          <w:p w14:paraId="3167462F"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3.</w:t>
            </w:r>
          </w:p>
        </w:tc>
        <w:tc>
          <w:tcPr>
            <w:tcW w:w="528" w:type="dxa"/>
            <w:shd w:val="clear" w:color="auto" w:fill="auto"/>
            <w:vAlign w:val="center"/>
          </w:tcPr>
          <w:p w14:paraId="61FC4FC4" w14:textId="77777777" w:rsidR="00A818B5" w:rsidRPr="00825E85" w:rsidRDefault="00A818B5" w:rsidP="00165DA6">
            <w:pPr>
              <w:spacing w:after="0"/>
              <w:jc w:val="center"/>
              <w:rPr>
                <w:rFonts w:ascii="Arial" w:eastAsia="Times New Roman" w:hAnsi="Arial" w:cs="Arial"/>
                <w:sz w:val="22"/>
                <w:szCs w:val="22"/>
                <w:lang w:eastAsia="sl-SI"/>
              </w:rPr>
            </w:pPr>
          </w:p>
        </w:tc>
        <w:tc>
          <w:tcPr>
            <w:tcW w:w="7126" w:type="dxa"/>
            <w:shd w:val="clear" w:color="auto" w:fill="auto"/>
            <w:vAlign w:val="center"/>
          </w:tcPr>
          <w:p w14:paraId="278CF21D"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b/>
                <w:sz w:val="22"/>
                <w:szCs w:val="22"/>
                <w:lang w:eastAsia="sl-SI"/>
              </w:rPr>
              <w:t>Zaposlenost staršev</w:t>
            </w:r>
            <w:r w:rsidRPr="00825E85">
              <w:rPr>
                <w:rFonts w:ascii="Arial" w:eastAsia="Times New Roman" w:hAnsi="Arial" w:cs="Arial"/>
                <w:sz w:val="22"/>
                <w:szCs w:val="22"/>
                <w:lang w:eastAsia="sl-SI"/>
              </w:rPr>
              <w:t xml:space="preserve"> (upošteva se ena od variant):</w:t>
            </w:r>
          </w:p>
        </w:tc>
        <w:tc>
          <w:tcPr>
            <w:tcW w:w="987" w:type="dxa"/>
            <w:shd w:val="clear" w:color="auto" w:fill="auto"/>
            <w:vAlign w:val="center"/>
          </w:tcPr>
          <w:p w14:paraId="65310931" w14:textId="77777777" w:rsidR="00A818B5" w:rsidRPr="00825E85" w:rsidRDefault="00A818B5" w:rsidP="00165DA6">
            <w:pPr>
              <w:spacing w:after="0"/>
              <w:jc w:val="center"/>
              <w:rPr>
                <w:rFonts w:ascii="Arial" w:eastAsia="Times New Roman" w:hAnsi="Arial" w:cs="Arial"/>
                <w:b/>
                <w:bCs/>
                <w:sz w:val="22"/>
                <w:szCs w:val="22"/>
                <w:lang w:eastAsia="sl-SI"/>
              </w:rPr>
            </w:pPr>
          </w:p>
        </w:tc>
      </w:tr>
      <w:tr w:rsidR="00A818B5" w:rsidRPr="00825E85" w14:paraId="1DCCA615" w14:textId="77777777" w:rsidTr="00165DA6">
        <w:tc>
          <w:tcPr>
            <w:tcW w:w="846" w:type="dxa"/>
            <w:shd w:val="clear" w:color="auto" w:fill="auto"/>
          </w:tcPr>
          <w:p w14:paraId="508CD03D"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451D9591"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a.</w:t>
            </w:r>
          </w:p>
        </w:tc>
        <w:tc>
          <w:tcPr>
            <w:tcW w:w="7126" w:type="dxa"/>
            <w:shd w:val="clear" w:color="auto" w:fill="auto"/>
          </w:tcPr>
          <w:p w14:paraId="1AFFBA9D"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Zaposlena, sta oba starša (oz. eden, če gre za enostarševsko družino)</w:t>
            </w:r>
          </w:p>
        </w:tc>
        <w:tc>
          <w:tcPr>
            <w:tcW w:w="987" w:type="dxa"/>
            <w:shd w:val="clear" w:color="auto" w:fill="auto"/>
          </w:tcPr>
          <w:p w14:paraId="5FA6D1D4"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8</w:t>
            </w:r>
          </w:p>
        </w:tc>
      </w:tr>
      <w:tr w:rsidR="00A818B5" w:rsidRPr="00825E85" w14:paraId="5017BC01" w14:textId="77777777" w:rsidTr="00165DA6">
        <w:tc>
          <w:tcPr>
            <w:tcW w:w="846" w:type="dxa"/>
            <w:shd w:val="clear" w:color="auto" w:fill="auto"/>
          </w:tcPr>
          <w:p w14:paraId="4F0C34F7"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2258D08F"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b.</w:t>
            </w:r>
          </w:p>
        </w:tc>
        <w:tc>
          <w:tcPr>
            <w:tcW w:w="7126" w:type="dxa"/>
            <w:shd w:val="clear" w:color="auto" w:fill="auto"/>
          </w:tcPr>
          <w:p w14:paraId="4445B5D9"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Zaposlen je eden od staršev</w:t>
            </w:r>
          </w:p>
        </w:tc>
        <w:tc>
          <w:tcPr>
            <w:tcW w:w="987" w:type="dxa"/>
            <w:shd w:val="clear" w:color="auto" w:fill="auto"/>
          </w:tcPr>
          <w:p w14:paraId="415E0CA4"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4</w:t>
            </w:r>
          </w:p>
        </w:tc>
      </w:tr>
      <w:tr w:rsidR="00A818B5" w:rsidRPr="00825E85" w14:paraId="6D8538CF" w14:textId="77777777" w:rsidTr="00165DA6">
        <w:trPr>
          <w:trHeight w:val="376"/>
        </w:trPr>
        <w:tc>
          <w:tcPr>
            <w:tcW w:w="846" w:type="dxa"/>
            <w:shd w:val="clear" w:color="auto" w:fill="auto"/>
            <w:vAlign w:val="center"/>
          </w:tcPr>
          <w:p w14:paraId="399456B1"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vAlign w:val="center"/>
          </w:tcPr>
          <w:p w14:paraId="0ACEA676"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c.</w:t>
            </w:r>
          </w:p>
        </w:tc>
        <w:tc>
          <w:tcPr>
            <w:tcW w:w="7126" w:type="dxa"/>
            <w:shd w:val="clear" w:color="auto" w:fill="auto"/>
            <w:vAlign w:val="center"/>
          </w:tcPr>
          <w:p w14:paraId="34D4AE65"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Oba starša sta redna študenta, ki nista v delovnem razmerju (oz. eden, če gre za enostarševsko družino)</w:t>
            </w:r>
          </w:p>
        </w:tc>
        <w:tc>
          <w:tcPr>
            <w:tcW w:w="987" w:type="dxa"/>
            <w:shd w:val="clear" w:color="auto" w:fill="auto"/>
            <w:vAlign w:val="center"/>
          </w:tcPr>
          <w:p w14:paraId="5E333500"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8</w:t>
            </w:r>
          </w:p>
        </w:tc>
      </w:tr>
      <w:tr w:rsidR="00A818B5" w:rsidRPr="00825E85" w14:paraId="7CCEDD07" w14:textId="77777777" w:rsidTr="00165DA6">
        <w:trPr>
          <w:trHeight w:val="376"/>
        </w:trPr>
        <w:tc>
          <w:tcPr>
            <w:tcW w:w="846" w:type="dxa"/>
            <w:shd w:val="clear" w:color="auto" w:fill="auto"/>
            <w:vAlign w:val="center"/>
          </w:tcPr>
          <w:p w14:paraId="2AE1480C"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vAlign w:val="center"/>
          </w:tcPr>
          <w:p w14:paraId="1F95CF1A"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d.</w:t>
            </w:r>
          </w:p>
        </w:tc>
        <w:tc>
          <w:tcPr>
            <w:tcW w:w="7126" w:type="dxa"/>
            <w:shd w:val="clear" w:color="auto" w:fill="auto"/>
            <w:vAlign w:val="center"/>
          </w:tcPr>
          <w:p w14:paraId="5136CAA6"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Redni študent, ki ni v delovnem razmerju</w:t>
            </w:r>
            <w:r>
              <w:rPr>
                <w:rFonts w:ascii="Arial" w:eastAsia="Times New Roman" w:hAnsi="Arial" w:cs="Arial"/>
                <w:sz w:val="22"/>
                <w:szCs w:val="22"/>
                <w:lang w:eastAsia="sl-SI"/>
              </w:rPr>
              <w:t>,</w:t>
            </w:r>
            <w:r w:rsidRPr="00825E85">
              <w:rPr>
                <w:rFonts w:ascii="Arial" w:eastAsia="Times New Roman" w:hAnsi="Arial" w:cs="Arial"/>
                <w:sz w:val="22"/>
                <w:szCs w:val="22"/>
                <w:lang w:eastAsia="sl-SI"/>
              </w:rPr>
              <w:t xml:space="preserve"> je eden izmed staršev</w:t>
            </w:r>
          </w:p>
        </w:tc>
        <w:tc>
          <w:tcPr>
            <w:tcW w:w="987" w:type="dxa"/>
            <w:shd w:val="clear" w:color="auto" w:fill="auto"/>
            <w:vAlign w:val="center"/>
          </w:tcPr>
          <w:p w14:paraId="3E09109B"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4</w:t>
            </w:r>
          </w:p>
        </w:tc>
      </w:tr>
      <w:tr w:rsidR="00A818B5" w:rsidRPr="00825E85" w14:paraId="359E9047" w14:textId="77777777" w:rsidTr="00165DA6">
        <w:trPr>
          <w:trHeight w:val="376"/>
        </w:trPr>
        <w:tc>
          <w:tcPr>
            <w:tcW w:w="846" w:type="dxa"/>
            <w:shd w:val="clear" w:color="auto" w:fill="auto"/>
            <w:vAlign w:val="center"/>
          </w:tcPr>
          <w:p w14:paraId="270243C4"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4.</w:t>
            </w:r>
          </w:p>
        </w:tc>
        <w:tc>
          <w:tcPr>
            <w:tcW w:w="528" w:type="dxa"/>
            <w:shd w:val="clear" w:color="auto" w:fill="auto"/>
            <w:vAlign w:val="center"/>
          </w:tcPr>
          <w:p w14:paraId="1CEE712D" w14:textId="77777777" w:rsidR="00A818B5" w:rsidRPr="00825E85" w:rsidRDefault="00A818B5" w:rsidP="00165DA6">
            <w:pPr>
              <w:spacing w:after="0"/>
              <w:jc w:val="center"/>
              <w:rPr>
                <w:rFonts w:ascii="Arial" w:eastAsia="Times New Roman" w:hAnsi="Arial" w:cs="Arial"/>
                <w:sz w:val="22"/>
                <w:szCs w:val="22"/>
                <w:lang w:eastAsia="sl-SI"/>
              </w:rPr>
            </w:pPr>
          </w:p>
        </w:tc>
        <w:tc>
          <w:tcPr>
            <w:tcW w:w="7126" w:type="dxa"/>
            <w:shd w:val="clear" w:color="auto" w:fill="auto"/>
            <w:vAlign w:val="center"/>
          </w:tcPr>
          <w:p w14:paraId="02787CF4"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b/>
                <w:sz w:val="22"/>
                <w:szCs w:val="22"/>
                <w:lang w:eastAsia="sl-SI"/>
              </w:rPr>
              <w:t>Število v vrtec vključenih otrok</w:t>
            </w:r>
            <w:r w:rsidRPr="00825E85">
              <w:rPr>
                <w:rFonts w:ascii="Arial" w:eastAsia="Times New Roman" w:hAnsi="Arial" w:cs="Arial"/>
                <w:sz w:val="22"/>
                <w:szCs w:val="22"/>
                <w:lang w:eastAsia="sl-SI"/>
              </w:rPr>
              <w:t xml:space="preserve"> (upošteva se ena od variant):</w:t>
            </w:r>
          </w:p>
        </w:tc>
        <w:tc>
          <w:tcPr>
            <w:tcW w:w="987" w:type="dxa"/>
            <w:shd w:val="clear" w:color="auto" w:fill="auto"/>
            <w:vAlign w:val="center"/>
          </w:tcPr>
          <w:p w14:paraId="635E598E" w14:textId="77777777" w:rsidR="00A818B5" w:rsidRPr="00825E85" w:rsidRDefault="00A818B5" w:rsidP="00165DA6">
            <w:pPr>
              <w:spacing w:after="0"/>
              <w:jc w:val="center"/>
              <w:rPr>
                <w:rFonts w:ascii="Arial" w:eastAsia="Times New Roman" w:hAnsi="Arial" w:cs="Arial"/>
                <w:b/>
                <w:bCs/>
                <w:sz w:val="22"/>
                <w:szCs w:val="22"/>
                <w:lang w:eastAsia="sl-SI"/>
              </w:rPr>
            </w:pPr>
          </w:p>
        </w:tc>
      </w:tr>
      <w:tr w:rsidR="00A818B5" w:rsidRPr="00825E85" w14:paraId="0FD014EC" w14:textId="77777777" w:rsidTr="00165DA6">
        <w:tc>
          <w:tcPr>
            <w:tcW w:w="846" w:type="dxa"/>
            <w:shd w:val="clear" w:color="auto" w:fill="auto"/>
          </w:tcPr>
          <w:p w14:paraId="1F11CFA8"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09582E09" w14:textId="77777777" w:rsidR="00A818B5" w:rsidRPr="00825E85" w:rsidRDefault="00A818B5" w:rsidP="00165DA6">
            <w:pPr>
              <w:spacing w:after="0"/>
              <w:jc w:val="center"/>
              <w:rPr>
                <w:rFonts w:ascii="Arial" w:eastAsia="Times New Roman" w:hAnsi="Arial" w:cs="Arial"/>
                <w:sz w:val="22"/>
                <w:szCs w:val="22"/>
                <w:lang w:eastAsia="sl-SI"/>
              </w:rPr>
            </w:pPr>
          </w:p>
        </w:tc>
        <w:tc>
          <w:tcPr>
            <w:tcW w:w="7126" w:type="dxa"/>
            <w:shd w:val="clear" w:color="auto" w:fill="auto"/>
          </w:tcPr>
          <w:p w14:paraId="16EAC61F"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Ob vključitvi otroka (novinca) v vrtec</w:t>
            </w:r>
            <w:r>
              <w:rPr>
                <w:rFonts w:ascii="Arial" w:eastAsia="Times New Roman" w:hAnsi="Arial" w:cs="Arial"/>
                <w:sz w:val="22"/>
                <w:szCs w:val="22"/>
                <w:lang w:eastAsia="sl-SI"/>
              </w:rPr>
              <w:t xml:space="preserve"> </w:t>
            </w:r>
            <w:r w:rsidRPr="00825E85">
              <w:rPr>
                <w:rFonts w:ascii="Arial" w:eastAsia="Times New Roman" w:hAnsi="Arial" w:cs="Arial"/>
                <w:sz w:val="22"/>
                <w:szCs w:val="22"/>
                <w:lang w:eastAsia="sl-SI"/>
              </w:rPr>
              <w:t>bosta v isti vrtec hkrati vključena najmanj dva otroka iz iste družine</w:t>
            </w:r>
          </w:p>
        </w:tc>
        <w:tc>
          <w:tcPr>
            <w:tcW w:w="987" w:type="dxa"/>
            <w:shd w:val="clear" w:color="auto" w:fill="auto"/>
          </w:tcPr>
          <w:p w14:paraId="47BF453D"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6</w:t>
            </w:r>
          </w:p>
        </w:tc>
      </w:tr>
      <w:tr w:rsidR="00A818B5" w:rsidRPr="00825E85" w14:paraId="558C7D9D" w14:textId="77777777" w:rsidTr="00165DA6">
        <w:trPr>
          <w:trHeight w:val="835"/>
        </w:trPr>
        <w:tc>
          <w:tcPr>
            <w:tcW w:w="846" w:type="dxa"/>
            <w:shd w:val="clear" w:color="auto" w:fill="auto"/>
            <w:vAlign w:val="center"/>
          </w:tcPr>
          <w:p w14:paraId="3CBF5A75"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5.</w:t>
            </w:r>
          </w:p>
        </w:tc>
        <w:tc>
          <w:tcPr>
            <w:tcW w:w="528" w:type="dxa"/>
            <w:shd w:val="clear" w:color="auto" w:fill="auto"/>
            <w:vAlign w:val="center"/>
          </w:tcPr>
          <w:p w14:paraId="13FE013D" w14:textId="77777777" w:rsidR="00A818B5" w:rsidRPr="00825E85" w:rsidRDefault="00A818B5" w:rsidP="00165DA6">
            <w:pPr>
              <w:spacing w:after="0"/>
              <w:jc w:val="center"/>
              <w:rPr>
                <w:rFonts w:ascii="Arial" w:eastAsia="Times New Roman" w:hAnsi="Arial" w:cs="Arial"/>
                <w:sz w:val="22"/>
                <w:szCs w:val="22"/>
                <w:lang w:eastAsia="sl-SI"/>
              </w:rPr>
            </w:pPr>
          </w:p>
        </w:tc>
        <w:tc>
          <w:tcPr>
            <w:tcW w:w="7126" w:type="dxa"/>
            <w:shd w:val="clear" w:color="auto" w:fill="auto"/>
            <w:vAlign w:val="center"/>
          </w:tcPr>
          <w:p w14:paraId="1282469F"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b/>
                <w:sz w:val="22"/>
                <w:szCs w:val="22"/>
                <w:lang w:eastAsia="sl-SI"/>
              </w:rPr>
              <w:t>Vključevanje starejših otrok - otrok bo 1. 9. tekočega koledarskega leta dopolnil  starost</w:t>
            </w:r>
            <w:r w:rsidRPr="00825E85">
              <w:rPr>
                <w:rFonts w:ascii="Arial" w:eastAsia="Times New Roman" w:hAnsi="Arial" w:cs="Arial"/>
                <w:sz w:val="22"/>
                <w:szCs w:val="22"/>
                <w:lang w:eastAsia="sl-SI"/>
              </w:rPr>
              <w:t xml:space="preserve">  (</w:t>
            </w:r>
            <w:r w:rsidRPr="00825E85">
              <w:rPr>
                <w:rFonts w:ascii="Arial" w:eastAsia="Times New Roman" w:hAnsi="Arial" w:cs="Arial"/>
                <w:iCs/>
                <w:sz w:val="22"/>
                <w:szCs w:val="22"/>
                <w:lang w:eastAsia="sl-SI"/>
              </w:rPr>
              <w:t>upošteva se ena izmed variant):</w:t>
            </w:r>
          </w:p>
        </w:tc>
        <w:tc>
          <w:tcPr>
            <w:tcW w:w="987" w:type="dxa"/>
            <w:shd w:val="clear" w:color="auto" w:fill="auto"/>
            <w:vAlign w:val="center"/>
          </w:tcPr>
          <w:p w14:paraId="2ADC03DA" w14:textId="77777777" w:rsidR="00A818B5" w:rsidRPr="00825E85" w:rsidRDefault="00A818B5" w:rsidP="00165DA6">
            <w:pPr>
              <w:spacing w:after="0"/>
              <w:jc w:val="center"/>
              <w:rPr>
                <w:rFonts w:ascii="Arial" w:eastAsia="Times New Roman" w:hAnsi="Arial" w:cs="Arial"/>
                <w:b/>
                <w:bCs/>
                <w:sz w:val="22"/>
                <w:szCs w:val="22"/>
                <w:lang w:eastAsia="sl-SI"/>
              </w:rPr>
            </w:pPr>
          </w:p>
        </w:tc>
      </w:tr>
      <w:tr w:rsidR="00A818B5" w:rsidRPr="00825E85" w14:paraId="580EE952" w14:textId="77777777" w:rsidTr="00165DA6">
        <w:tc>
          <w:tcPr>
            <w:tcW w:w="846" w:type="dxa"/>
            <w:shd w:val="clear" w:color="auto" w:fill="auto"/>
          </w:tcPr>
          <w:p w14:paraId="09BBCB74"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0478C556"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a.</w:t>
            </w:r>
          </w:p>
        </w:tc>
        <w:tc>
          <w:tcPr>
            <w:tcW w:w="7126" w:type="dxa"/>
            <w:shd w:val="clear" w:color="auto" w:fill="auto"/>
          </w:tcPr>
          <w:p w14:paraId="28371D74"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5 let in več</w:t>
            </w:r>
          </w:p>
        </w:tc>
        <w:tc>
          <w:tcPr>
            <w:tcW w:w="987" w:type="dxa"/>
            <w:shd w:val="clear" w:color="auto" w:fill="auto"/>
          </w:tcPr>
          <w:p w14:paraId="6571C13B"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16</w:t>
            </w:r>
          </w:p>
        </w:tc>
      </w:tr>
      <w:tr w:rsidR="00A818B5" w:rsidRPr="00825E85" w14:paraId="5454AD09" w14:textId="77777777" w:rsidTr="00165DA6">
        <w:tc>
          <w:tcPr>
            <w:tcW w:w="846" w:type="dxa"/>
            <w:shd w:val="clear" w:color="auto" w:fill="auto"/>
          </w:tcPr>
          <w:p w14:paraId="4F19D66A"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2D43825E"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b.</w:t>
            </w:r>
          </w:p>
        </w:tc>
        <w:tc>
          <w:tcPr>
            <w:tcW w:w="7126" w:type="dxa"/>
            <w:shd w:val="clear" w:color="auto" w:fill="auto"/>
          </w:tcPr>
          <w:p w14:paraId="11ED0C2B"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4 leta in več</w:t>
            </w:r>
          </w:p>
        </w:tc>
        <w:tc>
          <w:tcPr>
            <w:tcW w:w="987" w:type="dxa"/>
            <w:shd w:val="clear" w:color="auto" w:fill="auto"/>
          </w:tcPr>
          <w:p w14:paraId="4DF8940E"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14</w:t>
            </w:r>
          </w:p>
        </w:tc>
      </w:tr>
      <w:tr w:rsidR="00A818B5" w:rsidRPr="00825E85" w14:paraId="537ADAC4" w14:textId="77777777" w:rsidTr="00165DA6">
        <w:tc>
          <w:tcPr>
            <w:tcW w:w="846" w:type="dxa"/>
            <w:shd w:val="clear" w:color="auto" w:fill="auto"/>
          </w:tcPr>
          <w:p w14:paraId="4F7F04D7"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56E98C63"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c.</w:t>
            </w:r>
          </w:p>
        </w:tc>
        <w:tc>
          <w:tcPr>
            <w:tcW w:w="7126" w:type="dxa"/>
            <w:shd w:val="clear" w:color="auto" w:fill="auto"/>
          </w:tcPr>
          <w:p w14:paraId="58BB9B76"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3 leta in več</w:t>
            </w:r>
          </w:p>
        </w:tc>
        <w:tc>
          <w:tcPr>
            <w:tcW w:w="987" w:type="dxa"/>
            <w:shd w:val="clear" w:color="auto" w:fill="auto"/>
          </w:tcPr>
          <w:p w14:paraId="3047F47B"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12</w:t>
            </w:r>
          </w:p>
        </w:tc>
      </w:tr>
      <w:tr w:rsidR="00A818B5" w:rsidRPr="00825E85" w14:paraId="2E43643C" w14:textId="77777777" w:rsidTr="00165DA6">
        <w:tc>
          <w:tcPr>
            <w:tcW w:w="846" w:type="dxa"/>
            <w:shd w:val="clear" w:color="auto" w:fill="auto"/>
          </w:tcPr>
          <w:p w14:paraId="2B276101"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20C12800"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d.</w:t>
            </w:r>
          </w:p>
        </w:tc>
        <w:tc>
          <w:tcPr>
            <w:tcW w:w="7126" w:type="dxa"/>
            <w:shd w:val="clear" w:color="auto" w:fill="auto"/>
          </w:tcPr>
          <w:p w14:paraId="2D284A2A"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2 leti in več</w:t>
            </w:r>
          </w:p>
        </w:tc>
        <w:tc>
          <w:tcPr>
            <w:tcW w:w="987" w:type="dxa"/>
            <w:shd w:val="clear" w:color="auto" w:fill="auto"/>
          </w:tcPr>
          <w:p w14:paraId="7DB1EFA4"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10</w:t>
            </w:r>
          </w:p>
        </w:tc>
      </w:tr>
      <w:tr w:rsidR="00A818B5" w:rsidRPr="00825E85" w14:paraId="3E38F0DC" w14:textId="77777777" w:rsidTr="00165DA6">
        <w:tc>
          <w:tcPr>
            <w:tcW w:w="846" w:type="dxa"/>
            <w:shd w:val="clear" w:color="auto" w:fill="auto"/>
          </w:tcPr>
          <w:p w14:paraId="6A691CCC"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5D82B77E"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e.</w:t>
            </w:r>
          </w:p>
        </w:tc>
        <w:tc>
          <w:tcPr>
            <w:tcW w:w="7126" w:type="dxa"/>
            <w:shd w:val="clear" w:color="auto" w:fill="auto"/>
          </w:tcPr>
          <w:p w14:paraId="7AC64080"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11 mesecev in več</w:t>
            </w:r>
          </w:p>
        </w:tc>
        <w:tc>
          <w:tcPr>
            <w:tcW w:w="987" w:type="dxa"/>
            <w:shd w:val="clear" w:color="auto" w:fill="auto"/>
          </w:tcPr>
          <w:p w14:paraId="22A565A3"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8</w:t>
            </w:r>
          </w:p>
        </w:tc>
      </w:tr>
      <w:tr w:rsidR="00A818B5" w:rsidRPr="00825E85" w14:paraId="4F6ECB06" w14:textId="77777777" w:rsidTr="00165DA6">
        <w:trPr>
          <w:trHeight w:val="907"/>
        </w:trPr>
        <w:tc>
          <w:tcPr>
            <w:tcW w:w="846" w:type="dxa"/>
            <w:shd w:val="clear" w:color="auto" w:fill="auto"/>
            <w:vAlign w:val="center"/>
          </w:tcPr>
          <w:p w14:paraId="297D0F2D"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6.</w:t>
            </w:r>
          </w:p>
        </w:tc>
        <w:tc>
          <w:tcPr>
            <w:tcW w:w="528" w:type="dxa"/>
            <w:shd w:val="clear" w:color="auto" w:fill="auto"/>
            <w:vAlign w:val="center"/>
          </w:tcPr>
          <w:p w14:paraId="3DBBF05D" w14:textId="77777777" w:rsidR="00A818B5" w:rsidRPr="00825E85" w:rsidRDefault="00A818B5" w:rsidP="00165DA6">
            <w:pPr>
              <w:spacing w:after="0"/>
              <w:jc w:val="center"/>
              <w:rPr>
                <w:rFonts w:ascii="Arial" w:eastAsia="Times New Roman" w:hAnsi="Arial" w:cs="Arial"/>
                <w:sz w:val="22"/>
                <w:szCs w:val="22"/>
                <w:lang w:eastAsia="sl-SI"/>
              </w:rPr>
            </w:pPr>
          </w:p>
        </w:tc>
        <w:tc>
          <w:tcPr>
            <w:tcW w:w="7126" w:type="dxa"/>
            <w:shd w:val="clear" w:color="auto" w:fill="auto"/>
            <w:vAlign w:val="center"/>
          </w:tcPr>
          <w:p w14:paraId="6E00F068"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b/>
                <w:sz w:val="22"/>
                <w:szCs w:val="22"/>
                <w:lang w:eastAsia="sl-SI"/>
              </w:rPr>
              <w:t>Vključevanje mlajših otrok - v vrtec se vključuje otrok, ki 1. 9. tekočega koledarskega leta še ne bo dopolnil starosti 11 mesecev</w:t>
            </w:r>
            <w:r w:rsidRPr="00825E85">
              <w:rPr>
                <w:rFonts w:ascii="Arial" w:eastAsia="Times New Roman" w:hAnsi="Arial" w:cs="Arial"/>
                <w:sz w:val="22"/>
                <w:szCs w:val="22"/>
                <w:lang w:eastAsia="sl-SI"/>
              </w:rPr>
              <w:t xml:space="preserve"> (upošteva se ena izmed variant): </w:t>
            </w:r>
          </w:p>
        </w:tc>
        <w:tc>
          <w:tcPr>
            <w:tcW w:w="987" w:type="dxa"/>
            <w:shd w:val="clear" w:color="auto" w:fill="auto"/>
            <w:vAlign w:val="center"/>
          </w:tcPr>
          <w:p w14:paraId="3513B0B4" w14:textId="77777777" w:rsidR="00A818B5" w:rsidRPr="00825E85" w:rsidRDefault="00A818B5" w:rsidP="00165DA6">
            <w:pPr>
              <w:spacing w:after="0"/>
              <w:jc w:val="center"/>
              <w:rPr>
                <w:rFonts w:ascii="Arial" w:eastAsia="Times New Roman" w:hAnsi="Arial" w:cs="Arial"/>
                <w:b/>
                <w:bCs/>
                <w:sz w:val="22"/>
                <w:szCs w:val="22"/>
                <w:lang w:eastAsia="sl-SI"/>
              </w:rPr>
            </w:pPr>
          </w:p>
        </w:tc>
      </w:tr>
      <w:tr w:rsidR="00A818B5" w:rsidRPr="00825E85" w14:paraId="54EB34F8" w14:textId="77777777" w:rsidTr="00165DA6">
        <w:tc>
          <w:tcPr>
            <w:tcW w:w="846" w:type="dxa"/>
            <w:shd w:val="clear" w:color="auto" w:fill="auto"/>
          </w:tcPr>
          <w:p w14:paraId="686F72A7"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168E69D4"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a.</w:t>
            </w:r>
          </w:p>
        </w:tc>
        <w:tc>
          <w:tcPr>
            <w:tcW w:w="7126" w:type="dxa"/>
            <w:shd w:val="clear" w:color="auto" w:fill="auto"/>
          </w:tcPr>
          <w:p w14:paraId="707EB8D6"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 xml:space="preserve">11 mesecev bo dopolnil do vključno 1. 10. tekočega koledarskega leta </w:t>
            </w:r>
          </w:p>
        </w:tc>
        <w:tc>
          <w:tcPr>
            <w:tcW w:w="987" w:type="dxa"/>
            <w:shd w:val="clear" w:color="auto" w:fill="auto"/>
          </w:tcPr>
          <w:p w14:paraId="4885ED3E"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6</w:t>
            </w:r>
          </w:p>
        </w:tc>
      </w:tr>
      <w:tr w:rsidR="00A818B5" w:rsidRPr="00825E85" w14:paraId="61ACCA94" w14:textId="77777777" w:rsidTr="00165DA6">
        <w:tc>
          <w:tcPr>
            <w:tcW w:w="846" w:type="dxa"/>
            <w:shd w:val="clear" w:color="auto" w:fill="auto"/>
          </w:tcPr>
          <w:p w14:paraId="5E5BF8F1"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096A1025"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b.</w:t>
            </w:r>
          </w:p>
        </w:tc>
        <w:tc>
          <w:tcPr>
            <w:tcW w:w="7126" w:type="dxa"/>
            <w:shd w:val="clear" w:color="auto" w:fill="auto"/>
          </w:tcPr>
          <w:p w14:paraId="44F9FFB5"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 xml:space="preserve">11 mesecev bo dopolnil do vključno 1. 11. tekočega koledarskega leta </w:t>
            </w:r>
          </w:p>
        </w:tc>
        <w:tc>
          <w:tcPr>
            <w:tcW w:w="987" w:type="dxa"/>
            <w:shd w:val="clear" w:color="auto" w:fill="auto"/>
          </w:tcPr>
          <w:p w14:paraId="45D3994C"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5</w:t>
            </w:r>
          </w:p>
        </w:tc>
      </w:tr>
      <w:tr w:rsidR="00A818B5" w:rsidRPr="00825E85" w14:paraId="401FCC4B" w14:textId="77777777" w:rsidTr="00165DA6">
        <w:tc>
          <w:tcPr>
            <w:tcW w:w="846" w:type="dxa"/>
            <w:shd w:val="clear" w:color="auto" w:fill="auto"/>
          </w:tcPr>
          <w:p w14:paraId="3CE48507"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25D041A6"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c.</w:t>
            </w:r>
          </w:p>
        </w:tc>
        <w:tc>
          <w:tcPr>
            <w:tcW w:w="7126" w:type="dxa"/>
            <w:shd w:val="clear" w:color="auto" w:fill="auto"/>
          </w:tcPr>
          <w:p w14:paraId="41734A8E"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 xml:space="preserve">11 mesecev bo dopolnil do vključno 1. 12. tekočega koledarskega leta </w:t>
            </w:r>
          </w:p>
        </w:tc>
        <w:tc>
          <w:tcPr>
            <w:tcW w:w="987" w:type="dxa"/>
            <w:shd w:val="clear" w:color="auto" w:fill="auto"/>
          </w:tcPr>
          <w:p w14:paraId="7F000DD6"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4</w:t>
            </w:r>
          </w:p>
        </w:tc>
      </w:tr>
      <w:tr w:rsidR="00A818B5" w:rsidRPr="00825E85" w14:paraId="14221ABB" w14:textId="77777777" w:rsidTr="00165DA6">
        <w:tc>
          <w:tcPr>
            <w:tcW w:w="846" w:type="dxa"/>
            <w:shd w:val="clear" w:color="auto" w:fill="auto"/>
          </w:tcPr>
          <w:p w14:paraId="1EED3556"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0D23E0CA"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d.</w:t>
            </w:r>
          </w:p>
        </w:tc>
        <w:tc>
          <w:tcPr>
            <w:tcW w:w="7126" w:type="dxa"/>
            <w:shd w:val="clear" w:color="auto" w:fill="auto"/>
          </w:tcPr>
          <w:p w14:paraId="34734FDE"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sz w:val="22"/>
                <w:szCs w:val="22"/>
                <w:lang w:eastAsia="sl-SI"/>
              </w:rPr>
              <w:t xml:space="preserve">11 mesecev bo dopolnil do vključno 1. 1. prihodnjega koledarskega leta </w:t>
            </w:r>
          </w:p>
        </w:tc>
        <w:tc>
          <w:tcPr>
            <w:tcW w:w="987" w:type="dxa"/>
            <w:shd w:val="clear" w:color="auto" w:fill="auto"/>
          </w:tcPr>
          <w:p w14:paraId="46CBD11D"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3</w:t>
            </w:r>
          </w:p>
        </w:tc>
      </w:tr>
      <w:tr w:rsidR="00A818B5" w:rsidRPr="00825E85" w14:paraId="28BFB6B9" w14:textId="77777777" w:rsidTr="00165DA6">
        <w:trPr>
          <w:trHeight w:val="346"/>
        </w:trPr>
        <w:tc>
          <w:tcPr>
            <w:tcW w:w="846" w:type="dxa"/>
            <w:shd w:val="clear" w:color="auto" w:fill="auto"/>
            <w:vAlign w:val="center"/>
          </w:tcPr>
          <w:p w14:paraId="7B683F90" w14:textId="77777777" w:rsidR="00A818B5" w:rsidRPr="00825E85" w:rsidRDefault="00A818B5" w:rsidP="00165DA6">
            <w:pPr>
              <w:spacing w:after="0"/>
              <w:jc w:val="center"/>
              <w:rPr>
                <w:rFonts w:ascii="Arial" w:eastAsia="Times New Roman" w:hAnsi="Arial" w:cs="Arial"/>
                <w:sz w:val="22"/>
                <w:szCs w:val="22"/>
                <w:lang w:eastAsia="sl-SI"/>
              </w:rPr>
            </w:pPr>
            <w:r w:rsidRPr="00825E85">
              <w:rPr>
                <w:rFonts w:ascii="Arial" w:eastAsia="Times New Roman" w:hAnsi="Arial" w:cs="Arial"/>
                <w:sz w:val="22"/>
                <w:szCs w:val="22"/>
                <w:lang w:eastAsia="sl-SI"/>
              </w:rPr>
              <w:t>7.</w:t>
            </w:r>
          </w:p>
        </w:tc>
        <w:tc>
          <w:tcPr>
            <w:tcW w:w="528" w:type="dxa"/>
            <w:shd w:val="clear" w:color="auto" w:fill="auto"/>
            <w:vAlign w:val="center"/>
          </w:tcPr>
          <w:p w14:paraId="695B6A07" w14:textId="77777777" w:rsidR="00A818B5" w:rsidRPr="00825E85" w:rsidRDefault="00A818B5" w:rsidP="00165DA6">
            <w:pPr>
              <w:spacing w:after="0"/>
              <w:jc w:val="center"/>
              <w:rPr>
                <w:rFonts w:ascii="Arial" w:eastAsia="Times New Roman" w:hAnsi="Arial" w:cs="Arial"/>
                <w:sz w:val="22"/>
                <w:szCs w:val="22"/>
                <w:lang w:eastAsia="sl-SI"/>
              </w:rPr>
            </w:pPr>
          </w:p>
        </w:tc>
        <w:tc>
          <w:tcPr>
            <w:tcW w:w="7126" w:type="dxa"/>
            <w:shd w:val="clear" w:color="auto" w:fill="auto"/>
            <w:vAlign w:val="center"/>
          </w:tcPr>
          <w:p w14:paraId="72FF6BFA" w14:textId="77777777" w:rsidR="00A818B5" w:rsidRPr="00825E85" w:rsidRDefault="00A818B5" w:rsidP="00165DA6">
            <w:pPr>
              <w:spacing w:after="0"/>
              <w:jc w:val="both"/>
              <w:rPr>
                <w:rFonts w:ascii="Arial" w:eastAsia="Times New Roman" w:hAnsi="Arial" w:cs="Arial"/>
                <w:sz w:val="22"/>
                <w:szCs w:val="22"/>
                <w:lang w:eastAsia="sl-SI"/>
              </w:rPr>
            </w:pPr>
            <w:r w:rsidRPr="00825E85">
              <w:rPr>
                <w:rFonts w:ascii="Arial" w:eastAsia="Times New Roman" w:hAnsi="Arial" w:cs="Arial"/>
                <w:b/>
                <w:sz w:val="22"/>
                <w:szCs w:val="22"/>
                <w:lang w:eastAsia="sl-SI"/>
              </w:rPr>
              <w:t>Uvrstitev na čakalni seznam v tekočem letu:</w:t>
            </w:r>
          </w:p>
        </w:tc>
        <w:tc>
          <w:tcPr>
            <w:tcW w:w="987" w:type="dxa"/>
            <w:shd w:val="clear" w:color="auto" w:fill="auto"/>
            <w:vAlign w:val="center"/>
          </w:tcPr>
          <w:p w14:paraId="4BDE4311" w14:textId="77777777" w:rsidR="00A818B5" w:rsidRPr="00825E85" w:rsidRDefault="00A818B5" w:rsidP="00165DA6">
            <w:pPr>
              <w:spacing w:after="0"/>
              <w:jc w:val="center"/>
              <w:rPr>
                <w:rFonts w:ascii="Arial" w:eastAsia="Times New Roman" w:hAnsi="Arial" w:cs="Arial"/>
                <w:b/>
                <w:bCs/>
                <w:sz w:val="22"/>
                <w:szCs w:val="22"/>
                <w:lang w:eastAsia="sl-SI"/>
              </w:rPr>
            </w:pPr>
          </w:p>
        </w:tc>
      </w:tr>
      <w:tr w:rsidR="00A818B5" w:rsidRPr="00825E85" w14:paraId="20D6ED92" w14:textId="77777777" w:rsidTr="00165DA6">
        <w:tc>
          <w:tcPr>
            <w:tcW w:w="846" w:type="dxa"/>
            <w:shd w:val="clear" w:color="auto" w:fill="auto"/>
          </w:tcPr>
          <w:p w14:paraId="5DD19EFD" w14:textId="77777777" w:rsidR="00A818B5" w:rsidRPr="00825E85" w:rsidRDefault="00A818B5" w:rsidP="00165DA6">
            <w:pPr>
              <w:spacing w:after="0"/>
              <w:jc w:val="center"/>
              <w:rPr>
                <w:rFonts w:ascii="Arial" w:eastAsia="Times New Roman" w:hAnsi="Arial" w:cs="Arial"/>
                <w:sz w:val="22"/>
                <w:szCs w:val="22"/>
                <w:lang w:eastAsia="sl-SI"/>
              </w:rPr>
            </w:pPr>
          </w:p>
        </w:tc>
        <w:tc>
          <w:tcPr>
            <w:tcW w:w="528" w:type="dxa"/>
            <w:shd w:val="clear" w:color="auto" w:fill="auto"/>
          </w:tcPr>
          <w:p w14:paraId="4DCD2A33" w14:textId="77777777" w:rsidR="00A818B5" w:rsidRPr="00825E85" w:rsidRDefault="00A818B5" w:rsidP="00165DA6">
            <w:pPr>
              <w:spacing w:after="0"/>
              <w:jc w:val="center"/>
              <w:rPr>
                <w:rFonts w:ascii="Arial" w:eastAsia="Times New Roman" w:hAnsi="Arial" w:cs="Arial"/>
                <w:sz w:val="22"/>
                <w:szCs w:val="22"/>
                <w:lang w:eastAsia="sl-SI"/>
              </w:rPr>
            </w:pPr>
          </w:p>
        </w:tc>
        <w:tc>
          <w:tcPr>
            <w:tcW w:w="7126" w:type="dxa"/>
            <w:shd w:val="clear" w:color="auto" w:fill="auto"/>
          </w:tcPr>
          <w:p w14:paraId="52D8BBA5" w14:textId="77777777" w:rsidR="00A818B5" w:rsidRPr="00825E85" w:rsidRDefault="00A818B5" w:rsidP="00165DA6">
            <w:pPr>
              <w:spacing w:after="0"/>
              <w:jc w:val="both"/>
              <w:rPr>
                <w:rFonts w:ascii="Arial" w:eastAsia="Times New Roman" w:hAnsi="Arial" w:cs="Arial"/>
                <w:sz w:val="22"/>
                <w:szCs w:val="22"/>
                <w:lang w:eastAsia="sl-SI"/>
              </w:rPr>
            </w:pPr>
            <w:bookmarkStart w:id="0" w:name="_Hlk65740141"/>
            <w:r w:rsidRPr="00825E85">
              <w:rPr>
                <w:rFonts w:ascii="Arial" w:eastAsia="Times New Roman" w:hAnsi="Arial" w:cs="Arial"/>
                <w:sz w:val="22"/>
                <w:szCs w:val="22"/>
                <w:lang w:eastAsia="sl-SI"/>
              </w:rPr>
              <w:t>Otrok, ki je bil v tekočem šolskem letu uvrščen na čakalni seznam, pa ni bil sprejet v vrtec na območju Občine Miklavž na Dravskem polju zaradi pomanjkanja prostih mest v vrtcu</w:t>
            </w:r>
            <w:bookmarkEnd w:id="0"/>
          </w:p>
        </w:tc>
        <w:tc>
          <w:tcPr>
            <w:tcW w:w="987" w:type="dxa"/>
            <w:shd w:val="clear" w:color="auto" w:fill="auto"/>
          </w:tcPr>
          <w:p w14:paraId="5FA38FF7" w14:textId="77777777" w:rsidR="00A818B5" w:rsidRPr="00825E85" w:rsidRDefault="00A818B5" w:rsidP="00165DA6">
            <w:pPr>
              <w:spacing w:after="0"/>
              <w:jc w:val="center"/>
              <w:rPr>
                <w:rFonts w:ascii="Arial" w:eastAsia="Times New Roman" w:hAnsi="Arial" w:cs="Arial"/>
                <w:b/>
                <w:bCs/>
                <w:sz w:val="22"/>
                <w:szCs w:val="22"/>
                <w:lang w:eastAsia="sl-SI"/>
              </w:rPr>
            </w:pPr>
            <w:r w:rsidRPr="00825E85">
              <w:rPr>
                <w:rFonts w:ascii="Arial" w:eastAsia="Times New Roman" w:hAnsi="Arial" w:cs="Arial"/>
                <w:b/>
                <w:bCs/>
                <w:sz w:val="22"/>
                <w:szCs w:val="22"/>
                <w:lang w:eastAsia="sl-SI"/>
              </w:rPr>
              <w:t>10</w:t>
            </w:r>
          </w:p>
        </w:tc>
      </w:tr>
    </w:tbl>
    <w:p w14:paraId="7064B0A9" w14:textId="77777777" w:rsidR="00A818B5" w:rsidRPr="00825E85" w:rsidRDefault="00A818B5" w:rsidP="00A818B5">
      <w:pPr>
        <w:jc w:val="both"/>
        <w:rPr>
          <w:rFonts w:ascii="Arial" w:hAnsi="Arial" w:cs="Arial"/>
          <w:sz w:val="22"/>
          <w:szCs w:val="22"/>
        </w:rPr>
      </w:pPr>
    </w:p>
    <w:p w14:paraId="61DA2D31" w14:textId="77777777" w:rsidR="00A818B5" w:rsidRPr="00825E85" w:rsidRDefault="00A818B5" w:rsidP="00A818B5">
      <w:pPr>
        <w:spacing w:after="0"/>
        <w:jc w:val="both"/>
        <w:rPr>
          <w:rFonts w:ascii="Arial" w:hAnsi="Arial" w:cs="Arial"/>
          <w:sz w:val="22"/>
          <w:szCs w:val="22"/>
        </w:rPr>
      </w:pPr>
      <w:r w:rsidRPr="00825E85">
        <w:rPr>
          <w:rFonts w:ascii="Arial" w:hAnsi="Arial" w:cs="Arial"/>
          <w:sz w:val="22"/>
          <w:szCs w:val="22"/>
        </w:rPr>
        <w:t>(2) Vloge se točkuje tako, da se pri vsakem kriteriju, ki je izpolnjen, dodeli pripadajoče število točk. (3) Če več otrok doseže enako število točk, komisija pri določitvi prednostnega vrstnega reda upošteva dodatne kriterije po naslednjem prioritetnem vrstnem redu:</w:t>
      </w:r>
    </w:p>
    <w:p w14:paraId="0A049CED" w14:textId="77777777" w:rsidR="00A818B5" w:rsidRPr="00825E85" w:rsidRDefault="00A818B5" w:rsidP="00A818B5">
      <w:pPr>
        <w:numPr>
          <w:ilvl w:val="0"/>
          <w:numId w:val="1"/>
        </w:numPr>
        <w:tabs>
          <w:tab w:val="clear" w:pos="720"/>
          <w:tab w:val="num" w:pos="360"/>
        </w:tabs>
        <w:spacing w:after="0"/>
        <w:ind w:left="360"/>
        <w:jc w:val="both"/>
        <w:rPr>
          <w:rFonts w:ascii="Arial" w:hAnsi="Arial" w:cs="Arial"/>
          <w:sz w:val="22"/>
          <w:szCs w:val="22"/>
        </w:rPr>
      </w:pPr>
      <w:r w:rsidRPr="00825E85">
        <w:rPr>
          <w:rFonts w:ascii="Arial" w:hAnsi="Arial" w:cs="Arial"/>
          <w:sz w:val="22"/>
          <w:szCs w:val="22"/>
        </w:rPr>
        <w:t>otrok ima skupaj z vsaj enim staršem ali skrbnikom stalno prebivališče v Občini Miklavž na Dravskem polju oziroma je otrok tujcev, ki ima vsaj z enim od staršev stalno ali začasno prebivališče na območju Občine Miklavž na Dravskem polju in je vsaj eden od staršev zavezanec za dohodnino v Republiki Sloveniji</w:t>
      </w:r>
      <w:r>
        <w:rPr>
          <w:rFonts w:ascii="Arial" w:hAnsi="Arial" w:cs="Arial"/>
          <w:sz w:val="22"/>
          <w:szCs w:val="22"/>
        </w:rPr>
        <w:t>;</w:t>
      </w:r>
    </w:p>
    <w:p w14:paraId="6E04E7B1" w14:textId="77777777" w:rsidR="00A818B5" w:rsidRPr="00825E85" w:rsidRDefault="00A818B5" w:rsidP="00A818B5">
      <w:pPr>
        <w:numPr>
          <w:ilvl w:val="0"/>
          <w:numId w:val="1"/>
        </w:numPr>
        <w:tabs>
          <w:tab w:val="clear" w:pos="720"/>
          <w:tab w:val="num" w:pos="360"/>
        </w:tabs>
        <w:spacing w:after="0"/>
        <w:ind w:left="360"/>
        <w:jc w:val="both"/>
        <w:rPr>
          <w:rFonts w:ascii="Arial" w:hAnsi="Arial" w:cs="Arial"/>
          <w:sz w:val="22"/>
          <w:szCs w:val="22"/>
        </w:rPr>
      </w:pPr>
      <w:r w:rsidRPr="00825E85">
        <w:rPr>
          <w:rFonts w:ascii="Arial" w:hAnsi="Arial" w:cs="Arial"/>
          <w:sz w:val="22"/>
          <w:szCs w:val="22"/>
        </w:rPr>
        <w:t>zaposlena sta oba otrokova starša oz. sta oba starša redna študenta in nista v delovnem razmerju (v primeru enostarševske družine se izpolnjevanje tega pogoja uporabi smiselno – upošteva se samo eden od staršev)</w:t>
      </w:r>
      <w:r>
        <w:rPr>
          <w:rFonts w:ascii="Arial" w:hAnsi="Arial" w:cs="Arial"/>
          <w:sz w:val="22"/>
          <w:szCs w:val="22"/>
        </w:rPr>
        <w:t>;</w:t>
      </w:r>
    </w:p>
    <w:p w14:paraId="4D3968F6" w14:textId="77777777" w:rsidR="00A818B5" w:rsidRPr="00825E85" w:rsidRDefault="00A818B5" w:rsidP="00A818B5">
      <w:pPr>
        <w:numPr>
          <w:ilvl w:val="0"/>
          <w:numId w:val="1"/>
        </w:numPr>
        <w:tabs>
          <w:tab w:val="clear" w:pos="720"/>
          <w:tab w:val="num" w:pos="360"/>
        </w:tabs>
        <w:spacing w:after="0"/>
        <w:ind w:left="360"/>
        <w:jc w:val="both"/>
        <w:rPr>
          <w:rFonts w:ascii="Arial" w:hAnsi="Arial" w:cs="Arial"/>
          <w:sz w:val="22"/>
          <w:szCs w:val="22"/>
        </w:rPr>
      </w:pPr>
      <w:r w:rsidRPr="00825E85">
        <w:rPr>
          <w:rFonts w:ascii="Arial" w:hAnsi="Arial" w:cs="Arial"/>
          <w:sz w:val="22"/>
          <w:szCs w:val="22"/>
        </w:rPr>
        <w:t>otrok je bil v tekočem šolskem letu (v času razpisa za vpis) uvrščen na centralni čakalni seznam, pa ni bil sprejet v vrtec na območju Občine Miklavž na Dravskem polju zaradi pomanjkanja prostih mest v vrtcu</w:t>
      </w:r>
      <w:r>
        <w:rPr>
          <w:rFonts w:ascii="Arial" w:hAnsi="Arial" w:cs="Arial"/>
          <w:sz w:val="22"/>
          <w:szCs w:val="22"/>
        </w:rPr>
        <w:t>;</w:t>
      </w:r>
    </w:p>
    <w:p w14:paraId="2E7C825B" w14:textId="77777777" w:rsidR="00A818B5" w:rsidRPr="00825E85" w:rsidRDefault="00A818B5" w:rsidP="00A818B5">
      <w:pPr>
        <w:numPr>
          <w:ilvl w:val="0"/>
          <w:numId w:val="1"/>
        </w:numPr>
        <w:tabs>
          <w:tab w:val="clear" w:pos="720"/>
          <w:tab w:val="num" w:pos="360"/>
        </w:tabs>
        <w:spacing w:after="0"/>
        <w:ind w:left="360"/>
        <w:jc w:val="both"/>
        <w:rPr>
          <w:rFonts w:ascii="Arial" w:hAnsi="Arial" w:cs="Arial"/>
          <w:sz w:val="22"/>
          <w:szCs w:val="22"/>
        </w:rPr>
      </w:pPr>
      <w:r w:rsidRPr="00825E85">
        <w:rPr>
          <w:rFonts w:ascii="Arial" w:hAnsi="Arial" w:cs="Arial"/>
          <w:sz w:val="22"/>
          <w:szCs w:val="22"/>
        </w:rPr>
        <w:t>izbrani vrtec že obiskuje brat ali sestra otroka</w:t>
      </w:r>
      <w:r>
        <w:rPr>
          <w:rFonts w:ascii="Arial" w:hAnsi="Arial" w:cs="Arial"/>
          <w:sz w:val="22"/>
          <w:szCs w:val="22"/>
        </w:rPr>
        <w:t>;</w:t>
      </w:r>
    </w:p>
    <w:p w14:paraId="79A1A07E" w14:textId="77777777" w:rsidR="00A818B5" w:rsidRPr="00825E85" w:rsidRDefault="00A818B5" w:rsidP="00A818B5">
      <w:pPr>
        <w:numPr>
          <w:ilvl w:val="0"/>
          <w:numId w:val="1"/>
        </w:numPr>
        <w:tabs>
          <w:tab w:val="clear" w:pos="720"/>
          <w:tab w:val="num" w:pos="360"/>
        </w:tabs>
        <w:spacing w:after="0"/>
        <w:ind w:left="360"/>
        <w:jc w:val="both"/>
        <w:rPr>
          <w:rFonts w:ascii="Arial" w:hAnsi="Arial" w:cs="Arial"/>
          <w:sz w:val="22"/>
          <w:szCs w:val="22"/>
        </w:rPr>
      </w:pPr>
      <w:r w:rsidRPr="00825E85">
        <w:rPr>
          <w:rFonts w:ascii="Arial" w:hAnsi="Arial" w:cs="Arial"/>
          <w:sz w:val="22"/>
          <w:szCs w:val="22"/>
        </w:rPr>
        <w:t>izbrani vrtec je najbližje otrokovemu stalnemu oz. začasnemu prebivališču</w:t>
      </w:r>
      <w:r>
        <w:rPr>
          <w:rFonts w:ascii="Arial" w:hAnsi="Arial" w:cs="Arial"/>
          <w:sz w:val="22"/>
          <w:szCs w:val="22"/>
        </w:rPr>
        <w:t>;</w:t>
      </w:r>
    </w:p>
    <w:p w14:paraId="4896EDE5" w14:textId="77777777" w:rsidR="00A818B5" w:rsidRPr="00825E85" w:rsidRDefault="00A818B5" w:rsidP="00A818B5">
      <w:pPr>
        <w:numPr>
          <w:ilvl w:val="0"/>
          <w:numId w:val="1"/>
        </w:numPr>
        <w:tabs>
          <w:tab w:val="clear" w:pos="720"/>
          <w:tab w:val="num" w:pos="360"/>
        </w:tabs>
        <w:spacing w:after="0"/>
        <w:ind w:left="360"/>
        <w:jc w:val="both"/>
        <w:rPr>
          <w:rFonts w:ascii="Arial" w:hAnsi="Arial" w:cs="Arial"/>
          <w:sz w:val="22"/>
          <w:szCs w:val="22"/>
        </w:rPr>
      </w:pPr>
      <w:r w:rsidRPr="00825E85">
        <w:rPr>
          <w:rFonts w:ascii="Arial" w:hAnsi="Arial" w:cs="Arial"/>
          <w:sz w:val="22"/>
          <w:szCs w:val="22"/>
        </w:rPr>
        <w:t>starost otroka - na prednostnem vrstnem redu se višje uvrsti otrok, ki je starejši.</w:t>
      </w:r>
    </w:p>
    <w:p w14:paraId="04DCE474" w14:textId="77777777" w:rsidR="003734C7" w:rsidRDefault="003734C7"/>
    <w:sectPr w:rsidR="00373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C2236"/>
    <w:multiLevelType w:val="hybridMultilevel"/>
    <w:tmpl w:val="E8B89D3E"/>
    <w:lvl w:ilvl="0" w:tplc="A4445A9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B5"/>
    <w:rsid w:val="003734C7"/>
    <w:rsid w:val="00A818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AACB"/>
  <w15:chartTrackingRefBased/>
  <w15:docId w15:val="{6C1B7D23-89C7-4E36-92EA-2689B3F4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18B5"/>
    <w:pPr>
      <w:spacing w:after="200" w:line="240" w:lineRule="auto"/>
    </w:pPr>
    <w:rPr>
      <w:rFonts w:eastAsiaTheme="minorEastAsia"/>
      <w:sz w:val="24"/>
      <w:szCs w:val="24"/>
      <w:lang w:eastAsia="ja-JP"/>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asjae@sola-miklavz.si</dc:creator>
  <cp:keywords/>
  <dc:description/>
  <cp:lastModifiedBy>asjae@sola-miklavz.si</cp:lastModifiedBy>
  <cp:revision>1</cp:revision>
  <dcterms:created xsi:type="dcterms:W3CDTF">2021-04-26T07:42:00Z</dcterms:created>
  <dcterms:modified xsi:type="dcterms:W3CDTF">2021-04-26T07:44:00Z</dcterms:modified>
</cp:coreProperties>
</file>